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304F" w:rsidRPr="00DF304F" w:rsidRDefault="00DF304F" w:rsidP="00DF304F">
      <w:pPr>
        <w:spacing w:before="0" w:beforeAutospacing="0" w:after="120" w:afterAutospacing="0"/>
        <w:jc w:val="center"/>
        <w:rPr>
          <w:b/>
        </w:rPr>
      </w:pPr>
      <w:bookmarkStart w:id="0" w:name="_GoBack"/>
      <w:bookmarkEnd w:id="0"/>
      <w:r w:rsidRPr="00DF304F">
        <w:rPr>
          <w:b/>
        </w:rPr>
        <w:t>CENTAR ZA RESTRUKTURIRANJE I PRODAJU</w:t>
      </w:r>
    </w:p>
    <w:p w:rsidR="00DF304F" w:rsidRDefault="00DF304F" w:rsidP="00DF304F">
      <w:pPr>
        <w:spacing w:before="0" w:beforeAutospacing="0" w:after="120" w:afterAutospacing="0"/>
        <w:jc w:val="center"/>
        <w:rPr>
          <w:b/>
        </w:rPr>
      </w:pPr>
      <w:r w:rsidRPr="00DF304F">
        <w:rPr>
          <w:b/>
        </w:rPr>
        <w:t>Poziv na javnu dražbu za prodaju redovnih dionica SUNČANI HVAR d.d., Hvar u vlasništvu Republike Hrvatske, Centra za restrukturiranje i prodaju i Državne agencije za osiguranje štednih uloga i sanaciju banaka</w:t>
      </w:r>
    </w:p>
    <w:p w:rsidR="00240657" w:rsidRDefault="00DF304F" w:rsidP="00DF304F">
      <w:pPr>
        <w:spacing w:before="0" w:beforeAutospacing="0" w:after="120" w:afterAutospacing="0"/>
        <w:jc w:val="center"/>
        <w:rPr>
          <w:b/>
        </w:rPr>
      </w:pPr>
      <w:r w:rsidRPr="00DF304F">
        <w:rPr>
          <w:b/>
        </w:rPr>
        <w:t>koja će se održati putem trgovinskog sustava Zagrebačke burze</w:t>
      </w:r>
    </w:p>
    <w:tbl>
      <w:tblPr>
        <w:tblW w:w="16033" w:type="dxa"/>
        <w:tblInd w:w="93" w:type="dxa"/>
        <w:tblLayout w:type="fixed"/>
        <w:tblLook w:val="04A0" w:firstRow="1" w:lastRow="0" w:firstColumn="1" w:lastColumn="0" w:noHBand="0" w:noVBand="1"/>
      </w:tblPr>
      <w:tblGrid>
        <w:gridCol w:w="447"/>
        <w:gridCol w:w="1269"/>
        <w:gridCol w:w="1134"/>
        <w:gridCol w:w="1560"/>
        <w:gridCol w:w="1275"/>
        <w:gridCol w:w="1134"/>
        <w:gridCol w:w="1134"/>
        <w:gridCol w:w="1134"/>
        <w:gridCol w:w="1560"/>
        <w:gridCol w:w="1134"/>
        <w:gridCol w:w="1559"/>
        <w:gridCol w:w="1417"/>
        <w:gridCol w:w="1276"/>
      </w:tblGrid>
      <w:tr w:rsidR="00DF304F" w:rsidRPr="00DF304F" w:rsidTr="00DF304F">
        <w:trPr>
          <w:trHeight w:val="1020"/>
        </w:trPr>
        <w:tc>
          <w:tcPr>
            <w:tcW w:w="4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F304F" w:rsidRPr="00DF304F" w:rsidRDefault="00DF304F" w:rsidP="00DF304F">
            <w:pPr>
              <w:spacing w:before="0" w:beforeAutospacing="0" w:after="0" w:afterAutospacing="0"/>
              <w:jc w:val="center"/>
              <w:rPr>
                <w:rFonts w:eastAsia="Times New Roman" w:cs="Arial"/>
                <w:b/>
                <w:bCs/>
                <w:sz w:val="18"/>
                <w:szCs w:val="18"/>
                <w:lang w:eastAsia="hr-HR"/>
              </w:rPr>
            </w:pPr>
            <w:r w:rsidRPr="00DF304F">
              <w:rPr>
                <w:rFonts w:eastAsia="Times New Roman" w:cs="Arial"/>
                <w:b/>
                <w:bCs/>
                <w:sz w:val="18"/>
                <w:szCs w:val="18"/>
                <w:lang w:eastAsia="hr-HR"/>
              </w:rPr>
              <w:t>R. br.</w:t>
            </w:r>
          </w:p>
        </w:tc>
        <w:tc>
          <w:tcPr>
            <w:tcW w:w="12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F304F" w:rsidRPr="00DF304F" w:rsidRDefault="00DF304F" w:rsidP="00DF304F">
            <w:pPr>
              <w:spacing w:before="0" w:beforeAutospacing="0" w:after="0" w:afterAutospacing="0"/>
              <w:jc w:val="center"/>
              <w:rPr>
                <w:rFonts w:eastAsia="Times New Roman" w:cs="Arial"/>
                <w:b/>
                <w:bCs/>
                <w:sz w:val="18"/>
                <w:szCs w:val="18"/>
                <w:lang w:eastAsia="hr-HR"/>
              </w:rPr>
            </w:pPr>
            <w:r w:rsidRPr="00DF304F">
              <w:rPr>
                <w:rFonts w:eastAsia="Times New Roman" w:cs="Arial"/>
                <w:b/>
                <w:bCs/>
                <w:sz w:val="18"/>
                <w:szCs w:val="18"/>
                <w:lang w:eastAsia="hr-HR"/>
              </w:rPr>
              <w:t>Izdavatelj</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F304F" w:rsidRPr="00DF304F" w:rsidRDefault="00DF304F" w:rsidP="00DF304F">
            <w:pPr>
              <w:spacing w:before="0" w:beforeAutospacing="0" w:after="0" w:afterAutospacing="0"/>
              <w:jc w:val="center"/>
              <w:rPr>
                <w:rFonts w:eastAsia="Times New Roman" w:cs="Arial"/>
                <w:b/>
                <w:bCs/>
                <w:sz w:val="18"/>
                <w:szCs w:val="18"/>
                <w:lang w:eastAsia="hr-HR"/>
              </w:rPr>
            </w:pPr>
            <w:r w:rsidRPr="00DF304F">
              <w:rPr>
                <w:rFonts w:eastAsia="Times New Roman" w:cs="Arial"/>
                <w:b/>
                <w:bCs/>
                <w:sz w:val="18"/>
                <w:szCs w:val="18"/>
                <w:lang w:eastAsia="hr-HR"/>
              </w:rPr>
              <w:t>Predmet dražbe</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F304F" w:rsidRPr="00DF304F" w:rsidRDefault="00DF304F" w:rsidP="00DF304F">
            <w:pPr>
              <w:spacing w:before="0" w:beforeAutospacing="0" w:after="0" w:afterAutospacing="0"/>
              <w:jc w:val="center"/>
              <w:rPr>
                <w:rFonts w:eastAsia="Times New Roman" w:cs="Arial"/>
                <w:b/>
                <w:bCs/>
                <w:sz w:val="18"/>
                <w:szCs w:val="18"/>
                <w:lang w:eastAsia="hr-HR"/>
              </w:rPr>
            </w:pPr>
            <w:r w:rsidRPr="00DF304F">
              <w:rPr>
                <w:rFonts w:eastAsia="Times New Roman" w:cs="Arial"/>
                <w:b/>
                <w:bCs/>
                <w:sz w:val="18"/>
                <w:szCs w:val="18"/>
                <w:lang w:eastAsia="hr-HR"/>
              </w:rPr>
              <w:t>Temeljni kapital u HRK</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F304F" w:rsidRPr="00DF304F" w:rsidRDefault="00DF304F" w:rsidP="00DF304F">
            <w:pPr>
              <w:spacing w:before="0" w:beforeAutospacing="0" w:after="0" w:afterAutospacing="0"/>
              <w:jc w:val="center"/>
              <w:rPr>
                <w:rFonts w:eastAsia="Times New Roman" w:cs="Arial"/>
                <w:b/>
                <w:bCs/>
                <w:sz w:val="18"/>
                <w:szCs w:val="18"/>
                <w:lang w:eastAsia="hr-HR"/>
              </w:rPr>
            </w:pPr>
            <w:r w:rsidRPr="00DF304F">
              <w:rPr>
                <w:rFonts w:eastAsia="Times New Roman" w:cs="Arial"/>
                <w:b/>
                <w:bCs/>
                <w:sz w:val="18"/>
                <w:szCs w:val="18"/>
                <w:lang w:eastAsia="hr-HR"/>
              </w:rPr>
              <w:t>Količina predmeta dražbe (broj dionica)</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F304F" w:rsidRPr="00DF304F" w:rsidRDefault="00DF304F" w:rsidP="00DF304F">
            <w:pPr>
              <w:spacing w:before="0" w:beforeAutospacing="0" w:after="0" w:afterAutospacing="0"/>
              <w:jc w:val="center"/>
              <w:rPr>
                <w:rFonts w:eastAsia="Times New Roman" w:cs="Arial"/>
                <w:b/>
                <w:bCs/>
                <w:sz w:val="18"/>
                <w:szCs w:val="18"/>
                <w:lang w:eastAsia="hr-HR"/>
              </w:rPr>
            </w:pPr>
            <w:r w:rsidRPr="00DF304F">
              <w:rPr>
                <w:rFonts w:eastAsia="Times New Roman" w:cs="Arial"/>
                <w:b/>
                <w:bCs/>
                <w:sz w:val="18"/>
                <w:szCs w:val="18"/>
                <w:lang w:eastAsia="hr-HR"/>
              </w:rPr>
              <w:t>Od toga dionice u vlasništvu RH</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F304F" w:rsidRPr="00DF304F" w:rsidRDefault="00DF304F" w:rsidP="00DF304F">
            <w:pPr>
              <w:spacing w:before="0" w:beforeAutospacing="0" w:after="0" w:afterAutospacing="0"/>
              <w:jc w:val="center"/>
              <w:rPr>
                <w:rFonts w:eastAsia="Times New Roman" w:cs="Arial"/>
                <w:b/>
                <w:bCs/>
                <w:sz w:val="18"/>
                <w:szCs w:val="18"/>
                <w:lang w:eastAsia="hr-HR"/>
              </w:rPr>
            </w:pPr>
            <w:r w:rsidRPr="00DF304F">
              <w:rPr>
                <w:rFonts w:eastAsia="Times New Roman" w:cs="Arial"/>
                <w:b/>
                <w:bCs/>
                <w:sz w:val="18"/>
                <w:szCs w:val="18"/>
                <w:lang w:eastAsia="hr-HR"/>
              </w:rPr>
              <w:t>Od toga dionice u vlasništvu CERP-a</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F304F" w:rsidRPr="00DF304F" w:rsidRDefault="00DF304F" w:rsidP="00DF304F">
            <w:pPr>
              <w:spacing w:before="0" w:beforeAutospacing="0" w:after="0" w:afterAutospacing="0"/>
              <w:jc w:val="center"/>
              <w:rPr>
                <w:rFonts w:eastAsia="Times New Roman" w:cs="Arial"/>
                <w:b/>
                <w:bCs/>
                <w:sz w:val="18"/>
                <w:szCs w:val="18"/>
                <w:lang w:eastAsia="hr-HR"/>
              </w:rPr>
            </w:pPr>
            <w:r w:rsidRPr="00DF304F">
              <w:rPr>
                <w:rFonts w:eastAsia="Times New Roman" w:cs="Arial"/>
                <w:b/>
                <w:bCs/>
                <w:sz w:val="18"/>
                <w:szCs w:val="18"/>
                <w:lang w:eastAsia="hr-HR"/>
              </w:rPr>
              <w:t>Od toga dionice u vlasništvu DAB-a</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F304F" w:rsidRPr="00DF304F" w:rsidRDefault="00DF304F" w:rsidP="00DF304F">
            <w:pPr>
              <w:spacing w:before="0" w:beforeAutospacing="0" w:after="0" w:afterAutospacing="0"/>
              <w:jc w:val="center"/>
              <w:rPr>
                <w:rFonts w:eastAsia="Times New Roman" w:cs="Arial"/>
                <w:b/>
                <w:bCs/>
                <w:sz w:val="18"/>
                <w:szCs w:val="18"/>
                <w:lang w:eastAsia="hr-HR"/>
              </w:rPr>
            </w:pPr>
            <w:r w:rsidRPr="00DF304F">
              <w:rPr>
                <w:rFonts w:eastAsia="Times New Roman" w:cs="Arial"/>
                <w:b/>
                <w:bCs/>
                <w:sz w:val="18"/>
                <w:szCs w:val="18"/>
                <w:lang w:eastAsia="hr-HR"/>
              </w:rPr>
              <w:t>Nominalna vrijednost dionica u HRK</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F304F" w:rsidRPr="00DF304F" w:rsidRDefault="00DF304F" w:rsidP="00DF304F">
            <w:pPr>
              <w:spacing w:before="0" w:beforeAutospacing="0" w:after="0" w:afterAutospacing="0"/>
              <w:jc w:val="center"/>
              <w:rPr>
                <w:rFonts w:eastAsia="Times New Roman" w:cs="Arial"/>
                <w:b/>
                <w:bCs/>
                <w:sz w:val="18"/>
                <w:szCs w:val="18"/>
                <w:lang w:eastAsia="hr-HR"/>
              </w:rPr>
            </w:pPr>
            <w:r w:rsidRPr="00DF304F">
              <w:rPr>
                <w:rFonts w:eastAsia="Times New Roman" w:cs="Arial"/>
                <w:b/>
                <w:bCs/>
                <w:sz w:val="18"/>
                <w:szCs w:val="18"/>
                <w:lang w:eastAsia="hr-HR"/>
              </w:rPr>
              <w:t>% u temeljnom kapitalu</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F304F" w:rsidRPr="00DF304F" w:rsidRDefault="00DF304F" w:rsidP="00DF304F">
            <w:pPr>
              <w:spacing w:before="0" w:beforeAutospacing="0" w:after="0" w:afterAutospacing="0"/>
              <w:jc w:val="center"/>
              <w:rPr>
                <w:rFonts w:eastAsia="Times New Roman" w:cs="Arial"/>
                <w:b/>
                <w:bCs/>
                <w:sz w:val="18"/>
                <w:szCs w:val="18"/>
                <w:lang w:eastAsia="hr-HR"/>
              </w:rPr>
            </w:pPr>
            <w:r w:rsidRPr="00DF304F">
              <w:rPr>
                <w:rFonts w:eastAsia="Times New Roman" w:cs="Arial"/>
                <w:b/>
                <w:bCs/>
                <w:sz w:val="18"/>
                <w:szCs w:val="18"/>
                <w:lang w:eastAsia="hr-HR"/>
              </w:rPr>
              <w:t>Početna cijena prodaje paketa</w:t>
            </w:r>
            <w:r>
              <w:rPr>
                <w:rFonts w:eastAsia="Times New Roman" w:cs="Arial"/>
                <w:b/>
                <w:bCs/>
                <w:sz w:val="18"/>
                <w:szCs w:val="18"/>
                <w:lang w:eastAsia="hr-HR"/>
              </w:rPr>
              <w:t xml:space="preserve"> u HRK</w:t>
            </w:r>
            <w:r w:rsidRPr="00DF304F">
              <w:rPr>
                <w:rFonts w:eastAsia="Times New Roman" w:cs="Arial"/>
                <w:b/>
                <w:bCs/>
                <w:sz w:val="18"/>
                <w:szCs w:val="18"/>
                <w:lang w:eastAsia="hr-HR"/>
              </w:rPr>
              <w:t xml:space="preserve"> </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F304F" w:rsidRPr="00DF304F" w:rsidRDefault="00DF304F" w:rsidP="00DF304F">
            <w:pPr>
              <w:spacing w:before="0" w:beforeAutospacing="0" w:after="0" w:afterAutospacing="0"/>
              <w:jc w:val="center"/>
              <w:rPr>
                <w:rFonts w:eastAsia="Times New Roman" w:cs="Arial"/>
                <w:b/>
                <w:bCs/>
                <w:sz w:val="18"/>
                <w:szCs w:val="18"/>
                <w:lang w:eastAsia="hr-HR"/>
              </w:rPr>
            </w:pPr>
            <w:r w:rsidRPr="00DF304F">
              <w:rPr>
                <w:rFonts w:eastAsia="Times New Roman" w:cs="Arial"/>
                <w:b/>
                <w:bCs/>
                <w:sz w:val="18"/>
                <w:szCs w:val="18"/>
                <w:lang w:eastAsia="hr-HR"/>
              </w:rPr>
              <w:t>Dražbovni korak</w:t>
            </w:r>
            <w:r>
              <w:rPr>
                <w:rFonts w:eastAsia="Times New Roman" w:cs="Arial"/>
                <w:b/>
                <w:bCs/>
                <w:sz w:val="18"/>
                <w:szCs w:val="18"/>
                <w:lang w:eastAsia="hr-HR"/>
              </w:rPr>
              <w:t xml:space="preserve"> u HRK</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F304F" w:rsidRPr="00DF304F" w:rsidRDefault="00DF304F" w:rsidP="00DF304F">
            <w:pPr>
              <w:spacing w:before="0" w:beforeAutospacing="0" w:after="0" w:afterAutospacing="0"/>
              <w:jc w:val="center"/>
              <w:rPr>
                <w:rFonts w:eastAsia="Times New Roman" w:cs="Arial"/>
                <w:b/>
                <w:bCs/>
                <w:sz w:val="18"/>
                <w:szCs w:val="18"/>
                <w:lang w:eastAsia="hr-HR"/>
              </w:rPr>
            </w:pPr>
            <w:r w:rsidRPr="00DF304F">
              <w:rPr>
                <w:rFonts w:eastAsia="Times New Roman" w:cs="Arial"/>
                <w:b/>
                <w:bCs/>
                <w:sz w:val="18"/>
                <w:szCs w:val="18"/>
                <w:lang w:eastAsia="hr-HR"/>
              </w:rPr>
              <w:t>Datum održavanja javne dražbe</w:t>
            </w:r>
          </w:p>
        </w:tc>
      </w:tr>
      <w:tr w:rsidR="00DF304F" w:rsidRPr="00DF304F" w:rsidTr="00DF304F">
        <w:trPr>
          <w:trHeight w:val="225"/>
        </w:trPr>
        <w:tc>
          <w:tcPr>
            <w:tcW w:w="447" w:type="dxa"/>
            <w:vMerge/>
            <w:tcBorders>
              <w:top w:val="single" w:sz="4" w:space="0" w:color="auto"/>
              <w:left w:val="single" w:sz="4" w:space="0" w:color="auto"/>
              <w:bottom w:val="single" w:sz="4" w:space="0" w:color="auto"/>
              <w:right w:val="single" w:sz="4" w:space="0" w:color="auto"/>
            </w:tcBorders>
            <w:vAlign w:val="center"/>
            <w:hideMark/>
          </w:tcPr>
          <w:p w:rsidR="00DF304F" w:rsidRPr="00DF304F" w:rsidRDefault="00DF304F" w:rsidP="00DF304F">
            <w:pPr>
              <w:spacing w:before="0" w:beforeAutospacing="0" w:after="0" w:afterAutospacing="0"/>
              <w:rPr>
                <w:rFonts w:eastAsia="Times New Roman" w:cs="Arial"/>
                <w:b/>
                <w:bCs/>
                <w:sz w:val="18"/>
                <w:szCs w:val="18"/>
                <w:lang w:eastAsia="hr-HR"/>
              </w:rPr>
            </w:pPr>
          </w:p>
        </w:tc>
        <w:tc>
          <w:tcPr>
            <w:tcW w:w="1269" w:type="dxa"/>
            <w:vMerge/>
            <w:tcBorders>
              <w:top w:val="single" w:sz="4" w:space="0" w:color="auto"/>
              <w:left w:val="single" w:sz="4" w:space="0" w:color="auto"/>
              <w:bottom w:val="single" w:sz="4" w:space="0" w:color="auto"/>
              <w:right w:val="single" w:sz="4" w:space="0" w:color="auto"/>
            </w:tcBorders>
            <w:vAlign w:val="center"/>
            <w:hideMark/>
          </w:tcPr>
          <w:p w:rsidR="00DF304F" w:rsidRPr="00DF304F" w:rsidRDefault="00DF304F" w:rsidP="00DF304F">
            <w:pPr>
              <w:spacing w:before="0" w:beforeAutospacing="0" w:after="0" w:afterAutospacing="0"/>
              <w:rPr>
                <w:rFonts w:eastAsia="Times New Roman" w:cs="Arial"/>
                <w:b/>
                <w:bCs/>
                <w:sz w:val="18"/>
                <w:szCs w:val="18"/>
                <w:lang w:eastAsia="hr-HR"/>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F304F" w:rsidRPr="00DF304F" w:rsidRDefault="00DF304F" w:rsidP="00DF304F">
            <w:pPr>
              <w:spacing w:before="0" w:beforeAutospacing="0" w:after="0" w:afterAutospacing="0"/>
              <w:rPr>
                <w:rFonts w:eastAsia="Times New Roman" w:cs="Arial"/>
                <w:b/>
                <w:bCs/>
                <w:sz w:val="18"/>
                <w:szCs w:val="18"/>
                <w:lang w:eastAsia="hr-HR"/>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DF304F" w:rsidRPr="00DF304F" w:rsidRDefault="00DF304F" w:rsidP="00DF304F">
            <w:pPr>
              <w:spacing w:before="0" w:beforeAutospacing="0" w:after="0" w:afterAutospacing="0"/>
              <w:rPr>
                <w:rFonts w:eastAsia="Times New Roman" w:cs="Arial"/>
                <w:b/>
                <w:bCs/>
                <w:sz w:val="18"/>
                <w:szCs w:val="18"/>
                <w:lang w:eastAsia="hr-HR"/>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DF304F" w:rsidRPr="00DF304F" w:rsidRDefault="00DF304F" w:rsidP="00DF304F">
            <w:pPr>
              <w:spacing w:before="0" w:beforeAutospacing="0" w:after="0" w:afterAutospacing="0"/>
              <w:rPr>
                <w:rFonts w:eastAsia="Times New Roman" w:cs="Arial"/>
                <w:b/>
                <w:bCs/>
                <w:sz w:val="18"/>
                <w:szCs w:val="18"/>
                <w:lang w:eastAsia="hr-HR"/>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DF304F" w:rsidRPr="00DF304F" w:rsidRDefault="00DF304F" w:rsidP="00DF304F">
            <w:pPr>
              <w:spacing w:before="0" w:beforeAutospacing="0" w:after="0" w:afterAutospacing="0"/>
              <w:rPr>
                <w:rFonts w:eastAsia="Times New Roman" w:cs="Arial"/>
                <w:b/>
                <w:bCs/>
                <w:sz w:val="18"/>
                <w:szCs w:val="18"/>
                <w:lang w:eastAsia="hr-HR"/>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DF304F" w:rsidRPr="00DF304F" w:rsidRDefault="00DF304F" w:rsidP="00DF304F">
            <w:pPr>
              <w:spacing w:before="0" w:beforeAutospacing="0" w:after="0" w:afterAutospacing="0"/>
              <w:rPr>
                <w:rFonts w:eastAsia="Times New Roman" w:cs="Arial"/>
                <w:b/>
                <w:bCs/>
                <w:sz w:val="18"/>
                <w:szCs w:val="18"/>
                <w:lang w:eastAsia="hr-HR"/>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DF304F" w:rsidRPr="00DF304F" w:rsidRDefault="00DF304F" w:rsidP="00DF304F">
            <w:pPr>
              <w:spacing w:before="0" w:beforeAutospacing="0" w:after="0" w:afterAutospacing="0"/>
              <w:rPr>
                <w:rFonts w:eastAsia="Times New Roman" w:cs="Arial"/>
                <w:b/>
                <w:bCs/>
                <w:sz w:val="18"/>
                <w:szCs w:val="18"/>
                <w:lang w:eastAsia="hr-HR"/>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DF304F" w:rsidRPr="00DF304F" w:rsidRDefault="00DF304F" w:rsidP="00DF304F">
            <w:pPr>
              <w:spacing w:before="0" w:beforeAutospacing="0" w:after="0" w:afterAutospacing="0"/>
              <w:rPr>
                <w:rFonts w:eastAsia="Times New Roman" w:cs="Arial"/>
                <w:b/>
                <w:bCs/>
                <w:sz w:val="18"/>
                <w:szCs w:val="18"/>
                <w:lang w:eastAsia="hr-HR"/>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F304F" w:rsidRPr="00DF304F" w:rsidRDefault="00DF304F" w:rsidP="00DF304F">
            <w:pPr>
              <w:spacing w:before="0" w:beforeAutospacing="0" w:after="0" w:afterAutospacing="0"/>
              <w:rPr>
                <w:rFonts w:eastAsia="Times New Roman" w:cs="Arial"/>
                <w:b/>
                <w:bCs/>
                <w:sz w:val="18"/>
                <w:szCs w:val="18"/>
                <w:lang w:eastAsia="hr-HR"/>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F304F" w:rsidRPr="00DF304F" w:rsidRDefault="00DF304F" w:rsidP="00DF304F">
            <w:pPr>
              <w:spacing w:before="0" w:beforeAutospacing="0" w:after="0" w:afterAutospacing="0"/>
              <w:rPr>
                <w:rFonts w:eastAsia="Times New Roman" w:cs="Arial"/>
                <w:b/>
                <w:bCs/>
                <w:sz w:val="18"/>
                <w:szCs w:val="18"/>
                <w:lang w:eastAsia="hr-HR"/>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DF304F" w:rsidRPr="00DF304F" w:rsidRDefault="00DF304F" w:rsidP="00DF304F">
            <w:pPr>
              <w:spacing w:before="0" w:beforeAutospacing="0" w:after="0" w:afterAutospacing="0"/>
              <w:rPr>
                <w:rFonts w:eastAsia="Times New Roman" w:cs="Arial"/>
                <w:b/>
                <w:bCs/>
                <w:sz w:val="18"/>
                <w:szCs w:val="18"/>
                <w:lang w:eastAsia="hr-HR"/>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F304F" w:rsidRPr="00DF304F" w:rsidRDefault="00DF304F" w:rsidP="00DF304F">
            <w:pPr>
              <w:spacing w:before="0" w:beforeAutospacing="0" w:after="0" w:afterAutospacing="0"/>
              <w:rPr>
                <w:rFonts w:eastAsia="Times New Roman" w:cs="Arial"/>
                <w:b/>
                <w:bCs/>
                <w:sz w:val="18"/>
                <w:szCs w:val="18"/>
                <w:lang w:eastAsia="hr-HR"/>
              </w:rPr>
            </w:pPr>
          </w:p>
        </w:tc>
      </w:tr>
      <w:tr w:rsidR="00DF304F" w:rsidRPr="00DF304F" w:rsidTr="00DF304F">
        <w:trPr>
          <w:trHeight w:val="390"/>
        </w:trPr>
        <w:tc>
          <w:tcPr>
            <w:tcW w:w="447" w:type="dxa"/>
            <w:tcBorders>
              <w:top w:val="nil"/>
              <w:left w:val="single" w:sz="4" w:space="0" w:color="auto"/>
              <w:bottom w:val="single" w:sz="4" w:space="0" w:color="auto"/>
              <w:right w:val="single" w:sz="4" w:space="0" w:color="auto"/>
            </w:tcBorders>
            <w:shd w:val="clear" w:color="auto" w:fill="auto"/>
            <w:vAlign w:val="center"/>
            <w:hideMark/>
          </w:tcPr>
          <w:p w:rsidR="00DF304F" w:rsidRPr="00DF304F" w:rsidRDefault="00DF304F" w:rsidP="00DF304F">
            <w:pPr>
              <w:spacing w:before="0" w:beforeAutospacing="0" w:after="0" w:afterAutospacing="0"/>
              <w:jc w:val="center"/>
              <w:rPr>
                <w:rFonts w:eastAsia="Times New Roman" w:cs="Arial"/>
                <w:sz w:val="18"/>
                <w:szCs w:val="18"/>
                <w:lang w:eastAsia="hr-HR"/>
              </w:rPr>
            </w:pPr>
            <w:r w:rsidRPr="00DF304F">
              <w:rPr>
                <w:rFonts w:eastAsia="Times New Roman" w:cs="Arial"/>
                <w:sz w:val="18"/>
                <w:szCs w:val="18"/>
                <w:lang w:eastAsia="hr-HR"/>
              </w:rPr>
              <w:t>1</w:t>
            </w:r>
          </w:p>
        </w:tc>
        <w:tc>
          <w:tcPr>
            <w:tcW w:w="1269" w:type="dxa"/>
            <w:tcBorders>
              <w:top w:val="nil"/>
              <w:left w:val="nil"/>
              <w:bottom w:val="single" w:sz="4" w:space="0" w:color="auto"/>
              <w:right w:val="single" w:sz="4" w:space="0" w:color="auto"/>
            </w:tcBorders>
            <w:shd w:val="clear" w:color="auto" w:fill="auto"/>
            <w:vAlign w:val="center"/>
            <w:hideMark/>
          </w:tcPr>
          <w:p w:rsidR="00DF304F" w:rsidRPr="00DF304F" w:rsidRDefault="00DF304F" w:rsidP="00DF304F">
            <w:pPr>
              <w:spacing w:before="0" w:beforeAutospacing="0" w:after="0" w:afterAutospacing="0"/>
              <w:rPr>
                <w:rFonts w:eastAsia="Times New Roman" w:cs="Arial"/>
                <w:sz w:val="18"/>
                <w:szCs w:val="18"/>
                <w:lang w:eastAsia="hr-HR"/>
              </w:rPr>
            </w:pPr>
            <w:r w:rsidRPr="00DF304F">
              <w:rPr>
                <w:rFonts w:eastAsia="Times New Roman" w:cs="Arial"/>
                <w:sz w:val="18"/>
                <w:szCs w:val="18"/>
                <w:lang w:eastAsia="hr-HR"/>
              </w:rPr>
              <w:t>SUNČANI HVAR d.d., Hvar</w:t>
            </w:r>
          </w:p>
        </w:tc>
        <w:tc>
          <w:tcPr>
            <w:tcW w:w="1134" w:type="dxa"/>
            <w:tcBorders>
              <w:top w:val="nil"/>
              <w:left w:val="nil"/>
              <w:bottom w:val="single" w:sz="4" w:space="0" w:color="auto"/>
              <w:right w:val="single" w:sz="4" w:space="0" w:color="auto"/>
            </w:tcBorders>
            <w:shd w:val="clear" w:color="auto" w:fill="auto"/>
            <w:vAlign w:val="center"/>
            <w:hideMark/>
          </w:tcPr>
          <w:p w:rsidR="00DF304F" w:rsidRPr="00DF304F" w:rsidRDefault="00DF304F" w:rsidP="00DF304F">
            <w:pPr>
              <w:spacing w:before="0" w:beforeAutospacing="0" w:after="0" w:afterAutospacing="0"/>
              <w:jc w:val="center"/>
              <w:rPr>
                <w:rFonts w:eastAsia="Times New Roman" w:cs="Arial"/>
                <w:sz w:val="18"/>
                <w:szCs w:val="18"/>
                <w:lang w:eastAsia="hr-HR"/>
              </w:rPr>
            </w:pPr>
            <w:r w:rsidRPr="00DF304F">
              <w:rPr>
                <w:rFonts w:eastAsia="Times New Roman" w:cs="Arial"/>
                <w:sz w:val="18"/>
                <w:szCs w:val="18"/>
                <w:lang w:eastAsia="hr-HR"/>
              </w:rPr>
              <w:t>SUNH-R-A</w:t>
            </w:r>
          </w:p>
        </w:tc>
        <w:tc>
          <w:tcPr>
            <w:tcW w:w="1560" w:type="dxa"/>
            <w:tcBorders>
              <w:top w:val="nil"/>
              <w:left w:val="nil"/>
              <w:bottom w:val="single" w:sz="4" w:space="0" w:color="auto"/>
              <w:right w:val="single" w:sz="4" w:space="0" w:color="auto"/>
            </w:tcBorders>
            <w:shd w:val="clear" w:color="auto" w:fill="auto"/>
            <w:noWrap/>
            <w:vAlign w:val="center"/>
            <w:hideMark/>
          </w:tcPr>
          <w:p w:rsidR="00DF304F" w:rsidRPr="00DF304F" w:rsidRDefault="00DF304F" w:rsidP="00DF304F">
            <w:pPr>
              <w:spacing w:before="0" w:beforeAutospacing="0" w:after="0" w:afterAutospacing="0"/>
              <w:jc w:val="right"/>
              <w:rPr>
                <w:rFonts w:eastAsia="Times New Roman" w:cs="Arial"/>
                <w:sz w:val="18"/>
                <w:szCs w:val="18"/>
                <w:lang w:eastAsia="hr-HR"/>
              </w:rPr>
            </w:pPr>
            <w:r w:rsidRPr="00DF304F">
              <w:rPr>
                <w:rFonts w:eastAsia="Times New Roman" w:cs="Arial"/>
                <w:sz w:val="18"/>
                <w:szCs w:val="18"/>
                <w:lang w:eastAsia="hr-HR"/>
              </w:rPr>
              <w:t>388.375.700,00</w:t>
            </w:r>
          </w:p>
        </w:tc>
        <w:tc>
          <w:tcPr>
            <w:tcW w:w="1275" w:type="dxa"/>
            <w:tcBorders>
              <w:top w:val="nil"/>
              <w:left w:val="nil"/>
              <w:bottom w:val="single" w:sz="4" w:space="0" w:color="auto"/>
              <w:right w:val="single" w:sz="4" w:space="0" w:color="auto"/>
            </w:tcBorders>
            <w:shd w:val="clear" w:color="auto" w:fill="auto"/>
            <w:vAlign w:val="center"/>
            <w:hideMark/>
          </w:tcPr>
          <w:p w:rsidR="00DF304F" w:rsidRPr="00DF304F" w:rsidRDefault="00DF304F" w:rsidP="00DF304F">
            <w:pPr>
              <w:spacing w:before="0" w:beforeAutospacing="0" w:after="0" w:afterAutospacing="0"/>
              <w:jc w:val="center"/>
              <w:rPr>
                <w:rFonts w:eastAsia="Times New Roman" w:cs="Arial"/>
                <w:sz w:val="18"/>
                <w:szCs w:val="18"/>
                <w:lang w:eastAsia="hr-HR"/>
              </w:rPr>
            </w:pPr>
            <w:r w:rsidRPr="00DF304F">
              <w:rPr>
                <w:rFonts w:eastAsia="Times New Roman" w:cs="Arial"/>
                <w:sz w:val="18"/>
                <w:szCs w:val="18"/>
                <w:lang w:eastAsia="hr-HR"/>
              </w:rPr>
              <w:t>5.813.344</w:t>
            </w:r>
          </w:p>
        </w:tc>
        <w:tc>
          <w:tcPr>
            <w:tcW w:w="1134" w:type="dxa"/>
            <w:tcBorders>
              <w:top w:val="nil"/>
              <w:left w:val="nil"/>
              <w:bottom w:val="single" w:sz="4" w:space="0" w:color="auto"/>
              <w:right w:val="single" w:sz="4" w:space="0" w:color="auto"/>
            </w:tcBorders>
            <w:shd w:val="clear" w:color="auto" w:fill="auto"/>
            <w:vAlign w:val="center"/>
            <w:hideMark/>
          </w:tcPr>
          <w:p w:rsidR="00DF304F" w:rsidRPr="00DF304F" w:rsidRDefault="00DF304F" w:rsidP="00DF304F">
            <w:pPr>
              <w:spacing w:before="0" w:beforeAutospacing="0" w:after="0" w:afterAutospacing="0"/>
              <w:jc w:val="center"/>
              <w:rPr>
                <w:rFonts w:eastAsia="Times New Roman" w:cs="Arial"/>
                <w:sz w:val="18"/>
                <w:szCs w:val="18"/>
                <w:lang w:eastAsia="hr-HR"/>
              </w:rPr>
            </w:pPr>
            <w:r w:rsidRPr="00DF304F">
              <w:rPr>
                <w:rFonts w:eastAsia="Times New Roman" w:cs="Arial"/>
                <w:sz w:val="18"/>
                <w:szCs w:val="18"/>
                <w:lang w:eastAsia="hr-HR"/>
              </w:rPr>
              <w:t>3.809.971</w:t>
            </w:r>
          </w:p>
        </w:tc>
        <w:tc>
          <w:tcPr>
            <w:tcW w:w="1134" w:type="dxa"/>
            <w:tcBorders>
              <w:top w:val="nil"/>
              <w:left w:val="nil"/>
              <w:bottom w:val="single" w:sz="4" w:space="0" w:color="auto"/>
              <w:right w:val="single" w:sz="4" w:space="0" w:color="auto"/>
            </w:tcBorders>
            <w:shd w:val="clear" w:color="auto" w:fill="auto"/>
            <w:vAlign w:val="center"/>
            <w:hideMark/>
          </w:tcPr>
          <w:p w:rsidR="00DF304F" w:rsidRPr="00DF304F" w:rsidRDefault="00DF304F" w:rsidP="00DF304F">
            <w:pPr>
              <w:spacing w:before="0" w:beforeAutospacing="0" w:after="0" w:afterAutospacing="0"/>
              <w:jc w:val="center"/>
              <w:rPr>
                <w:rFonts w:eastAsia="Times New Roman" w:cs="Arial"/>
                <w:sz w:val="18"/>
                <w:szCs w:val="18"/>
                <w:lang w:eastAsia="hr-HR"/>
              </w:rPr>
            </w:pPr>
            <w:r w:rsidRPr="00DF304F">
              <w:rPr>
                <w:rFonts w:eastAsia="Times New Roman" w:cs="Arial"/>
                <w:sz w:val="18"/>
                <w:szCs w:val="18"/>
                <w:lang w:eastAsia="hr-HR"/>
              </w:rPr>
              <w:t>995.562</w:t>
            </w:r>
          </w:p>
        </w:tc>
        <w:tc>
          <w:tcPr>
            <w:tcW w:w="1134" w:type="dxa"/>
            <w:tcBorders>
              <w:top w:val="nil"/>
              <w:left w:val="nil"/>
              <w:bottom w:val="single" w:sz="4" w:space="0" w:color="auto"/>
              <w:right w:val="single" w:sz="4" w:space="0" w:color="auto"/>
            </w:tcBorders>
            <w:shd w:val="clear" w:color="auto" w:fill="auto"/>
            <w:vAlign w:val="center"/>
            <w:hideMark/>
          </w:tcPr>
          <w:p w:rsidR="00DF304F" w:rsidRPr="00DF304F" w:rsidRDefault="00DF304F" w:rsidP="00DF304F">
            <w:pPr>
              <w:spacing w:before="0" w:beforeAutospacing="0" w:after="0" w:afterAutospacing="0"/>
              <w:jc w:val="center"/>
              <w:rPr>
                <w:rFonts w:eastAsia="Times New Roman" w:cs="Arial"/>
                <w:sz w:val="18"/>
                <w:szCs w:val="18"/>
                <w:lang w:eastAsia="hr-HR"/>
              </w:rPr>
            </w:pPr>
            <w:r w:rsidRPr="00DF304F">
              <w:rPr>
                <w:rFonts w:eastAsia="Times New Roman" w:cs="Arial"/>
                <w:sz w:val="18"/>
                <w:szCs w:val="18"/>
                <w:lang w:eastAsia="hr-HR"/>
              </w:rPr>
              <w:t>1.007.811</w:t>
            </w:r>
          </w:p>
        </w:tc>
        <w:tc>
          <w:tcPr>
            <w:tcW w:w="1560" w:type="dxa"/>
            <w:tcBorders>
              <w:top w:val="nil"/>
              <w:left w:val="nil"/>
              <w:bottom w:val="single" w:sz="4" w:space="0" w:color="auto"/>
              <w:right w:val="single" w:sz="4" w:space="0" w:color="auto"/>
            </w:tcBorders>
            <w:shd w:val="clear" w:color="auto" w:fill="auto"/>
            <w:vAlign w:val="center"/>
            <w:hideMark/>
          </w:tcPr>
          <w:p w:rsidR="00DF304F" w:rsidRPr="00DF304F" w:rsidRDefault="00DF304F" w:rsidP="00DF304F">
            <w:pPr>
              <w:spacing w:before="0" w:beforeAutospacing="0" w:after="0" w:afterAutospacing="0"/>
              <w:jc w:val="right"/>
              <w:rPr>
                <w:rFonts w:eastAsia="Times New Roman" w:cs="Arial"/>
                <w:sz w:val="18"/>
                <w:szCs w:val="18"/>
                <w:lang w:eastAsia="hr-HR"/>
              </w:rPr>
            </w:pPr>
            <w:r w:rsidRPr="00DF304F">
              <w:rPr>
                <w:rFonts w:eastAsia="Times New Roman" w:cs="Arial"/>
                <w:sz w:val="18"/>
                <w:szCs w:val="18"/>
                <w:lang w:eastAsia="hr-HR"/>
              </w:rPr>
              <w:t xml:space="preserve">116.266.880,00   </w:t>
            </w:r>
          </w:p>
        </w:tc>
        <w:tc>
          <w:tcPr>
            <w:tcW w:w="1134" w:type="dxa"/>
            <w:tcBorders>
              <w:top w:val="nil"/>
              <w:left w:val="nil"/>
              <w:bottom w:val="single" w:sz="4" w:space="0" w:color="auto"/>
              <w:right w:val="single" w:sz="4" w:space="0" w:color="auto"/>
            </w:tcBorders>
            <w:shd w:val="clear" w:color="auto" w:fill="auto"/>
            <w:vAlign w:val="center"/>
            <w:hideMark/>
          </w:tcPr>
          <w:p w:rsidR="00DF304F" w:rsidRPr="00DF304F" w:rsidRDefault="00DF304F" w:rsidP="00DF304F">
            <w:pPr>
              <w:spacing w:before="0" w:beforeAutospacing="0" w:after="0" w:afterAutospacing="0"/>
              <w:jc w:val="center"/>
              <w:rPr>
                <w:rFonts w:eastAsia="Times New Roman" w:cs="Arial"/>
                <w:sz w:val="18"/>
                <w:szCs w:val="18"/>
                <w:lang w:eastAsia="hr-HR"/>
              </w:rPr>
            </w:pPr>
            <w:r w:rsidRPr="00DF304F">
              <w:rPr>
                <w:rFonts w:eastAsia="Times New Roman" w:cs="Arial"/>
                <w:sz w:val="18"/>
                <w:szCs w:val="18"/>
                <w:lang w:eastAsia="hr-HR"/>
              </w:rPr>
              <w:t>29,94</w:t>
            </w:r>
          </w:p>
        </w:tc>
        <w:tc>
          <w:tcPr>
            <w:tcW w:w="1559" w:type="dxa"/>
            <w:tcBorders>
              <w:top w:val="nil"/>
              <w:left w:val="nil"/>
              <w:bottom w:val="single" w:sz="4" w:space="0" w:color="auto"/>
              <w:right w:val="single" w:sz="4" w:space="0" w:color="auto"/>
            </w:tcBorders>
            <w:shd w:val="clear" w:color="auto" w:fill="auto"/>
            <w:vAlign w:val="center"/>
            <w:hideMark/>
          </w:tcPr>
          <w:p w:rsidR="00DF304F" w:rsidRPr="00DF304F" w:rsidRDefault="00DF304F" w:rsidP="00DF304F">
            <w:pPr>
              <w:spacing w:before="0" w:beforeAutospacing="0" w:after="0" w:afterAutospacing="0"/>
              <w:jc w:val="right"/>
              <w:rPr>
                <w:rFonts w:eastAsia="Times New Roman" w:cs="Arial"/>
                <w:sz w:val="18"/>
                <w:szCs w:val="18"/>
                <w:lang w:eastAsia="hr-HR"/>
              </w:rPr>
            </w:pPr>
            <w:r w:rsidRPr="00DF304F">
              <w:rPr>
                <w:rFonts w:eastAsia="Times New Roman" w:cs="Arial"/>
                <w:sz w:val="18"/>
                <w:szCs w:val="18"/>
                <w:lang w:eastAsia="hr-HR"/>
              </w:rPr>
              <w:t xml:space="preserve">162.773.632,00 </w:t>
            </w:r>
          </w:p>
        </w:tc>
        <w:tc>
          <w:tcPr>
            <w:tcW w:w="1417" w:type="dxa"/>
            <w:tcBorders>
              <w:top w:val="nil"/>
              <w:left w:val="nil"/>
              <w:bottom w:val="single" w:sz="4" w:space="0" w:color="auto"/>
              <w:right w:val="single" w:sz="4" w:space="0" w:color="auto"/>
            </w:tcBorders>
            <w:shd w:val="clear" w:color="auto" w:fill="auto"/>
            <w:vAlign w:val="center"/>
            <w:hideMark/>
          </w:tcPr>
          <w:p w:rsidR="00DF304F" w:rsidRPr="00DF304F" w:rsidRDefault="00DF304F" w:rsidP="00DF304F">
            <w:pPr>
              <w:spacing w:before="0" w:beforeAutospacing="0" w:after="0" w:afterAutospacing="0"/>
              <w:jc w:val="right"/>
              <w:rPr>
                <w:rFonts w:eastAsia="Times New Roman" w:cs="Arial"/>
                <w:sz w:val="18"/>
                <w:szCs w:val="18"/>
                <w:lang w:eastAsia="hr-HR"/>
              </w:rPr>
            </w:pPr>
            <w:r w:rsidRPr="00DF304F">
              <w:rPr>
                <w:rFonts w:eastAsia="Times New Roman" w:cs="Arial"/>
                <w:sz w:val="18"/>
                <w:szCs w:val="18"/>
                <w:lang w:eastAsia="hr-HR"/>
              </w:rPr>
              <w:t xml:space="preserve">3.255.472,64 </w:t>
            </w:r>
          </w:p>
        </w:tc>
        <w:tc>
          <w:tcPr>
            <w:tcW w:w="1276" w:type="dxa"/>
            <w:tcBorders>
              <w:top w:val="nil"/>
              <w:left w:val="nil"/>
              <w:bottom w:val="single" w:sz="4" w:space="0" w:color="auto"/>
              <w:right w:val="single" w:sz="4" w:space="0" w:color="auto"/>
            </w:tcBorders>
            <w:shd w:val="clear" w:color="auto" w:fill="auto"/>
            <w:vAlign w:val="center"/>
            <w:hideMark/>
          </w:tcPr>
          <w:p w:rsidR="00DF304F" w:rsidRPr="00DF304F" w:rsidRDefault="00DF304F" w:rsidP="00DF304F">
            <w:pPr>
              <w:spacing w:before="0" w:beforeAutospacing="0" w:after="0" w:afterAutospacing="0"/>
              <w:jc w:val="right"/>
              <w:rPr>
                <w:rFonts w:eastAsia="Times New Roman" w:cs="Arial"/>
                <w:sz w:val="18"/>
                <w:szCs w:val="18"/>
                <w:lang w:eastAsia="hr-HR"/>
              </w:rPr>
            </w:pPr>
            <w:r w:rsidRPr="00DF304F">
              <w:rPr>
                <w:rFonts w:eastAsia="Times New Roman" w:cs="Arial"/>
                <w:sz w:val="18"/>
                <w:szCs w:val="18"/>
                <w:lang w:eastAsia="hr-HR"/>
              </w:rPr>
              <w:t>13.06.2016.</w:t>
            </w:r>
          </w:p>
        </w:tc>
      </w:tr>
    </w:tbl>
    <w:p w:rsidR="00DF304F" w:rsidRPr="00DF304F" w:rsidRDefault="00DF304F" w:rsidP="00DF304F">
      <w:pPr>
        <w:rPr>
          <w:b/>
        </w:rPr>
      </w:pPr>
      <w:r w:rsidRPr="00DF304F">
        <w:rPr>
          <w:b/>
        </w:rPr>
        <w:t>UVJETI I NAČINI PRODAJE</w:t>
      </w:r>
      <w:r w:rsidRPr="00DF304F">
        <w:rPr>
          <w:b/>
        </w:rPr>
        <w:tab/>
      </w:r>
      <w:r w:rsidRPr="00DF304F">
        <w:rPr>
          <w:b/>
        </w:rPr>
        <w:tab/>
      </w:r>
      <w:r w:rsidRPr="00DF304F">
        <w:rPr>
          <w:b/>
        </w:rPr>
        <w:tab/>
      </w:r>
      <w:r w:rsidRPr="00DF304F">
        <w:rPr>
          <w:b/>
        </w:rPr>
        <w:tab/>
      </w:r>
      <w:r w:rsidRPr="00DF304F">
        <w:rPr>
          <w:b/>
        </w:rPr>
        <w:tab/>
      </w:r>
      <w:r w:rsidRPr="00DF304F">
        <w:rPr>
          <w:b/>
        </w:rPr>
        <w:tab/>
      </w:r>
      <w:r w:rsidRPr="00DF304F">
        <w:rPr>
          <w:b/>
        </w:rPr>
        <w:tab/>
      </w:r>
      <w:r w:rsidRPr="00DF304F">
        <w:rPr>
          <w:b/>
        </w:rPr>
        <w:tab/>
      </w:r>
      <w:r w:rsidRPr="00DF304F">
        <w:rPr>
          <w:b/>
        </w:rPr>
        <w:tab/>
      </w:r>
      <w:r w:rsidRPr="00DF304F">
        <w:rPr>
          <w:b/>
        </w:rPr>
        <w:tab/>
      </w:r>
      <w:r w:rsidRPr="00DF304F">
        <w:rPr>
          <w:b/>
        </w:rPr>
        <w:tab/>
      </w:r>
      <w:r w:rsidRPr="00DF304F">
        <w:rPr>
          <w:b/>
        </w:rPr>
        <w:tab/>
      </w:r>
    </w:p>
    <w:p w:rsidR="00DF304F" w:rsidRPr="00DF304F" w:rsidRDefault="00DF304F" w:rsidP="00DF304F">
      <w:pPr>
        <w:spacing w:before="0" w:beforeAutospacing="0" w:after="120" w:afterAutospacing="0"/>
        <w:jc w:val="both"/>
      </w:pPr>
      <w:r w:rsidRPr="00DF304F">
        <w:t xml:space="preserve">Dionice izdavatelja SUNČANI HVAR d.d., Hvar (dalje u tekstu: Društvo) mogu se kupiti jedino u cijelosti odnosno veličina paketa jednaka je količini predmeta dražbe i početna cijena prodaje izražena je za jedan paket. </w:t>
      </w:r>
      <w:r w:rsidRPr="00DF304F">
        <w:tab/>
      </w:r>
      <w:r w:rsidRPr="00DF304F">
        <w:tab/>
      </w:r>
      <w:r w:rsidRPr="00DF304F">
        <w:tab/>
      </w:r>
      <w:r w:rsidRPr="00DF304F">
        <w:tab/>
      </w:r>
      <w:r w:rsidRPr="00DF304F">
        <w:tab/>
      </w:r>
      <w:r w:rsidRPr="00DF304F">
        <w:tab/>
      </w:r>
      <w:r w:rsidRPr="00DF304F">
        <w:tab/>
      </w:r>
      <w:r w:rsidRPr="00DF304F">
        <w:tab/>
      </w:r>
      <w:r w:rsidRPr="00DF304F">
        <w:tab/>
      </w:r>
      <w:r w:rsidRPr="00DF304F">
        <w:tab/>
      </w:r>
      <w:r w:rsidRPr="00DF304F">
        <w:tab/>
      </w:r>
      <w:r w:rsidRPr="00DF304F">
        <w:tab/>
      </w:r>
    </w:p>
    <w:p w:rsidR="00E53D8D" w:rsidRDefault="00DF304F" w:rsidP="00DF304F">
      <w:pPr>
        <w:spacing w:before="0" w:beforeAutospacing="0" w:after="120" w:afterAutospacing="0"/>
        <w:jc w:val="both"/>
      </w:pPr>
      <w:r w:rsidRPr="00DF304F">
        <w:t>Paket dionica prodavati će se na dražbi s varijabilnim završetkom sukladno Pravilim</w:t>
      </w:r>
      <w:r w:rsidR="00E53D8D">
        <w:t>a Zagrebačke burze.</w:t>
      </w:r>
      <w:r w:rsidR="00E53D8D">
        <w:tab/>
      </w:r>
      <w:r w:rsidR="00E53D8D">
        <w:tab/>
      </w:r>
      <w:r w:rsidR="00E53D8D">
        <w:tab/>
      </w:r>
      <w:r w:rsidR="00E53D8D">
        <w:tab/>
      </w:r>
      <w:r w:rsidR="00E53D8D">
        <w:tab/>
      </w:r>
      <w:r w:rsidR="00E53D8D">
        <w:tab/>
      </w:r>
    </w:p>
    <w:p w:rsidR="00E53D8D" w:rsidRDefault="00DF304F" w:rsidP="00DF304F">
      <w:pPr>
        <w:spacing w:before="0" w:beforeAutospacing="0" w:after="120" w:afterAutospacing="0"/>
        <w:jc w:val="both"/>
      </w:pPr>
      <w:r w:rsidRPr="00DF304F">
        <w:t>Vlasništvo nad ponuđenim dionicama mogu steći domaće i strane, pravne i  fizičke osobe sukladno propisima Republike Hrvatske, tako da ih na Javnoj dražbi  zastupa neki od članova Zagrebačke burze, prema vlastitom izboru.  Na Javnoj dražbi ne može sudjelovati Kupac/Stjecatelj koji prije dana održavanja Javne dražbe nije položio novac za uplatu predložene početne cijene paketa dionica na račun člana Burze (brokera) koji će ga zastupati na Javnoj dražbi.  Odabrani Kupac/Stjecatelj dužan je u roku od najviše 4 (četiri) radna dana od dana održavanja Javne dražbe potpisati Ugovor o prodaji i prijenosu dionica Društva (dalje u tekstu: Ugovor), kojim dionicama, kao zakonski zastupnik, upravlja Centar za restrukturiranje i prodaju (dalje u tekstu: CERP).Odabrani Kupac/Stjecatelj dužan je u roku od 2 (dva) radna dana od dana potpisivanja Ugovora, uplatiti prodajnu cijenu postignutu na Javnoj dražbi na poslovni račun CERP -a IBAN HR68 2402 0061 1006 7186 9 kod Erste&amp;Steirmaerkische Bank. Prodajna cijena postignuta na Javnoj dražbi uplaćuje se isključivo u kunama, a kao dan uplate smatra se dan kada je na poslovnom računu CERP -a  evidentirana uplata prodajne cijene postignute na Javnoj dražbi.  Prodavatelji/Prenositelji se obvezuje u roku od najviše 4 (četiri) radna dana od dana evidentirane uplate prodajne cijene postignute na Javnoj dražbi na računu CERP -a, Stjecatelju izdati ispravu u kojoj će biti sadržana izjava prema kojoj pristaje i daje nalog da se izvrši prijenos dionica sa zastupničkog računa nematerijaliziranih vrijednosnih papira CERP-a na račun nematerijaliziranih vrijednosnih papira Stjecatelja koji se vodi u Središnjem klirinškom depozitarnom društvu (dal</w:t>
      </w:r>
      <w:r w:rsidR="00E53D8D">
        <w:t>je u tekstu: SKDD).</w:t>
      </w:r>
      <w:r w:rsidR="00E53D8D">
        <w:tab/>
      </w:r>
      <w:r w:rsidR="00E53D8D">
        <w:tab/>
      </w:r>
      <w:r w:rsidR="00E53D8D">
        <w:tab/>
      </w:r>
    </w:p>
    <w:p w:rsidR="00DF304F" w:rsidRPr="00DF304F" w:rsidRDefault="00DF304F" w:rsidP="00DF304F">
      <w:pPr>
        <w:spacing w:before="0" w:beforeAutospacing="0" w:after="120" w:afterAutospacing="0"/>
        <w:jc w:val="both"/>
      </w:pPr>
      <w:r w:rsidRPr="00DF304F">
        <w:t xml:space="preserve">Prilikom sklapanja Ugovora, odabrani Kupac/Stjecatelj, domaća ili strana, fizička ili pravna osoba mora priložiti podatke o identitetu (osobna iskaznica ili putovnica za domaću ili stranu fizičku osobu, izvadak iz sudskog registra za domaću pravnu osobu, odnosno iz odgovarajućeg domicilnog registra za stranu pravnu osobu), uključujući i osobni identifikacijski broj (OIB) sukladno Zakonu o osobnom identifikacijskom broju (NN 60/08). </w:t>
      </w:r>
      <w:r w:rsidRPr="00DF304F">
        <w:tab/>
      </w:r>
      <w:r w:rsidRPr="00DF304F">
        <w:tab/>
      </w:r>
      <w:r w:rsidRPr="00DF304F">
        <w:tab/>
      </w:r>
      <w:r w:rsidRPr="00DF304F">
        <w:tab/>
      </w:r>
      <w:r w:rsidRPr="00DF304F">
        <w:tab/>
      </w:r>
      <w:r w:rsidRPr="00DF304F">
        <w:tab/>
      </w:r>
      <w:r w:rsidRPr="00DF304F">
        <w:tab/>
      </w:r>
      <w:r w:rsidRPr="00DF304F">
        <w:tab/>
      </w:r>
      <w:r w:rsidRPr="00DF304F">
        <w:tab/>
      </w:r>
      <w:r w:rsidRPr="00DF304F">
        <w:tab/>
      </w:r>
      <w:r w:rsidRPr="00DF304F">
        <w:tab/>
      </w:r>
      <w:r w:rsidRPr="00DF304F">
        <w:tab/>
      </w:r>
    </w:p>
    <w:p w:rsidR="00DF304F" w:rsidRPr="00DF304F" w:rsidRDefault="00DF304F" w:rsidP="00DF304F">
      <w:pPr>
        <w:spacing w:before="0" w:beforeAutospacing="0" w:after="120" w:afterAutospacing="0"/>
        <w:jc w:val="both"/>
      </w:pPr>
      <w:r w:rsidRPr="00DF304F">
        <w:lastRenderedPageBreak/>
        <w:t xml:space="preserve">Prijenos dionica u SKDD -u izvršit će se temeljem Ugovora i isprave u kojoj će biti sadržana izjava prema kojoj Prodavatelji/Prenositelji pristaju i daju nalog da se izvrši prijenos dionica sa zastupničkog računa nematerijaliziranih vrijednosnih papira CERP-a na račun nematerijaliziranih vrijednosnih papira Stjecatelja koji se vodi u SKDD-u. </w:t>
      </w:r>
      <w:r w:rsidRPr="00DF304F">
        <w:tab/>
      </w:r>
      <w:r w:rsidRPr="00DF304F">
        <w:tab/>
      </w:r>
      <w:r w:rsidRPr="00DF304F">
        <w:tab/>
      </w:r>
      <w:r w:rsidRPr="00DF304F">
        <w:tab/>
      </w:r>
      <w:r w:rsidRPr="00DF304F">
        <w:tab/>
      </w:r>
      <w:r w:rsidRPr="00DF304F">
        <w:tab/>
      </w:r>
      <w:r w:rsidRPr="00DF304F">
        <w:tab/>
      </w:r>
      <w:r w:rsidRPr="00DF304F">
        <w:tab/>
      </w:r>
      <w:r w:rsidRPr="00DF304F">
        <w:tab/>
      </w:r>
      <w:r w:rsidRPr="00DF304F">
        <w:tab/>
      </w:r>
      <w:r w:rsidRPr="00DF304F">
        <w:tab/>
      </w:r>
      <w:r w:rsidRPr="00DF304F">
        <w:tab/>
      </w:r>
    </w:p>
    <w:p w:rsidR="00E53D8D" w:rsidRDefault="00DF304F" w:rsidP="00DF304F">
      <w:pPr>
        <w:spacing w:before="0" w:beforeAutospacing="0" w:after="120" w:afterAutospacing="0"/>
        <w:jc w:val="both"/>
      </w:pPr>
      <w:r w:rsidRPr="00DF304F">
        <w:t>Stanje imovine i obveze Društva Kupci/Stjecatelji provjeravaju na s</w:t>
      </w:r>
      <w:r w:rsidR="00E53D8D">
        <w:t>voj rizik i trošak.</w:t>
      </w:r>
      <w:r w:rsidR="00E53D8D">
        <w:tab/>
      </w:r>
      <w:r w:rsidR="00E53D8D">
        <w:tab/>
      </w:r>
      <w:r w:rsidR="00E53D8D">
        <w:tab/>
      </w:r>
      <w:r w:rsidR="00E53D8D">
        <w:tab/>
      </w:r>
      <w:r w:rsidR="00E53D8D">
        <w:tab/>
      </w:r>
      <w:r w:rsidR="00E53D8D">
        <w:tab/>
      </w:r>
      <w:r w:rsidR="00E53D8D">
        <w:tab/>
      </w:r>
      <w:r w:rsidR="00E53D8D">
        <w:tab/>
      </w:r>
      <w:r w:rsidR="00E53D8D">
        <w:tab/>
      </w:r>
      <w:r w:rsidR="00E53D8D">
        <w:tab/>
      </w:r>
    </w:p>
    <w:p w:rsidR="00E53D8D" w:rsidRDefault="00DF304F" w:rsidP="00DF304F">
      <w:pPr>
        <w:spacing w:before="0" w:beforeAutospacing="0" w:after="120" w:afterAutospacing="0"/>
        <w:jc w:val="both"/>
      </w:pPr>
      <w:r w:rsidRPr="00DF304F">
        <w:t>CERP zadržava pravo na korekciju početne cijene i koraka poveća</w:t>
      </w:r>
      <w:r w:rsidR="00E53D8D">
        <w:t>nja cijene dionica.</w:t>
      </w:r>
      <w:r w:rsidR="00E53D8D">
        <w:tab/>
      </w:r>
      <w:r w:rsidR="00E53D8D">
        <w:tab/>
      </w:r>
      <w:r w:rsidR="00E53D8D">
        <w:tab/>
      </w:r>
      <w:r w:rsidR="00E53D8D">
        <w:tab/>
      </w:r>
      <w:r w:rsidR="00E53D8D">
        <w:tab/>
      </w:r>
      <w:r w:rsidR="00E53D8D">
        <w:tab/>
      </w:r>
      <w:r w:rsidR="00E53D8D">
        <w:tab/>
      </w:r>
      <w:r w:rsidR="00E53D8D">
        <w:tab/>
      </w:r>
      <w:r w:rsidR="00E53D8D">
        <w:tab/>
      </w:r>
      <w:r w:rsidR="00E53D8D">
        <w:tab/>
      </w:r>
    </w:p>
    <w:p w:rsidR="00DF304F" w:rsidRPr="00DF304F" w:rsidRDefault="00E53D8D" w:rsidP="00DF304F">
      <w:pPr>
        <w:spacing w:before="0" w:beforeAutospacing="0" w:after="120" w:afterAutospacing="0"/>
        <w:jc w:val="both"/>
      </w:pPr>
      <w:r>
        <w:t>P</w:t>
      </w:r>
      <w:r w:rsidR="00DF304F" w:rsidRPr="00DF304F">
        <w:t xml:space="preserve">opis članova Zagrebačke burze, može se dobiti na adresi: </w:t>
      </w:r>
      <w:r w:rsidR="00DF304F" w:rsidRPr="00DF304F">
        <w:tab/>
      </w:r>
      <w:r w:rsidR="00DF304F" w:rsidRPr="00DF304F">
        <w:tab/>
      </w:r>
      <w:r w:rsidR="00DF304F" w:rsidRPr="00DF304F">
        <w:tab/>
      </w:r>
      <w:r w:rsidR="00DF304F" w:rsidRPr="00DF304F">
        <w:tab/>
      </w:r>
      <w:r w:rsidR="00DF304F" w:rsidRPr="00DF304F">
        <w:tab/>
      </w:r>
      <w:r w:rsidR="00DF304F" w:rsidRPr="00DF304F">
        <w:tab/>
      </w:r>
      <w:r w:rsidR="00DF304F" w:rsidRPr="00DF304F">
        <w:tab/>
      </w:r>
      <w:r w:rsidR="00DF304F" w:rsidRPr="00DF304F">
        <w:tab/>
      </w:r>
      <w:r w:rsidR="00DF304F" w:rsidRPr="00DF304F">
        <w:tab/>
      </w:r>
      <w:r w:rsidR="00DF304F" w:rsidRPr="00DF304F">
        <w:tab/>
      </w:r>
      <w:r w:rsidR="00DF304F" w:rsidRPr="00DF304F">
        <w:tab/>
      </w:r>
      <w:r w:rsidR="00DF304F" w:rsidRPr="00DF304F">
        <w:tab/>
      </w:r>
    </w:p>
    <w:p w:rsidR="00DF304F" w:rsidRPr="00DF304F" w:rsidRDefault="00DF304F" w:rsidP="00DF304F">
      <w:pPr>
        <w:spacing w:before="0" w:beforeAutospacing="0" w:after="120" w:afterAutospacing="0"/>
        <w:jc w:val="center"/>
        <w:rPr>
          <w:b/>
        </w:rPr>
      </w:pPr>
      <w:r w:rsidRPr="00DF304F">
        <w:rPr>
          <w:b/>
        </w:rPr>
        <w:t>ZAGREBAČKA  BURZA , Ivana Lučića 2a, Zagreb , tel. 01/ 4686-800, http://www.zse.hr</w:t>
      </w:r>
    </w:p>
    <w:p w:rsidR="00DF304F" w:rsidRPr="00DF304F" w:rsidRDefault="00DF304F" w:rsidP="00DF304F">
      <w:pPr>
        <w:spacing w:before="0" w:beforeAutospacing="0" w:after="120" w:afterAutospacing="0"/>
        <w:jc w:val="both"/>
      </w:pPr>
      <w:r w:rsidRPr="00DF304F">
        <w:t xml:space="preserve">Za sve detaljnije obavijesti molimo da se obratite na adresu: </w:t>
      </w:r>
      <w:r w:rsidRPr="00DF304F">
        <w:tab/>
      </w:r>
      <w:r w:rsidRPr="00DF304F">
        <w:tab/>
      </w:r>
      <w:r w:rsidRPr="00DF304F">
        <w:tab/>
      </w:r>
      <w:r w:rsidRPr="00DF304F">
        <w:tab/>
      </w:r>
      <w:r w:rsidRPr="00DF304F">
        <w:tab/>
      </w:r>
      <w:r w:rsidRPr="00DF304F">
        <w:tab/>
      </w:r>
      <w:r w:rsidRPr="00DF304F">
        <w:tab/>
      </w:r>
      <w:r w:rsidRPr="00DF304F">
        <w:tab/>
      </w:r>
      <w:r w:rsidRPr="00DF304F">
        <w:tab/>
      </w:r>
      <w:r w:rsidRPr="00DF304F">
        <w:tab/>
      </w:r>
      <w:r w:rsidRPr="00DF304F">
        <w:tab/>
      </w:r>
      <w:r w:rsidRPr="00DF304F">
        <w:tab/>
      </w:r>
    </w:p>
    <w:p w:rsidR="00DF304F" w:rsidRPr="00E53D8D" w:rsidRDefault="00DF304F" w:rsidP="00E53D8D">
      <w:pPr>
        <w:spacing w:before="0" w:beforeAutospacing="0" w:after="120" w:afterAutospacing="0"/>
        <w:jc w:val="center"/>
        <w:rPr>
          <w:b/>
        </w:rPr>
      </w:pPr>
      <w:r w:rsidRPr="00E53D8D">
        <w:rPr>
          <w:b/>
        </w:rPr>
        <w:t>CERP</w:t>
      </w:r>
    </w:p>
    <w:p w:rsidR="00DF304F" w:rsidRPr="00DF304F" w:rsidRDefault="00DF304F" w:rsidP="00E53D8D">
      <w:pPr>
        <w:spacing w:before="0" w:beforeAutospacing="0" w:after="120" w:afterAutospacing="0"/>
        <w:jc w:val="center"/>
      </w:pPr>
      <w:r w:rsidRPr="00DF304F">
        <w:t>Ivana Lučića 6, 10000 Zagreb, tel. 01/ 6346-228,353.</w:t>
      </w:r>
    </w:p>
    <w:p w:rsidR="00DF304F" w:rsidRPr="00DF304F" w:rsidRDefault="00DF304F" w:rsidP="00DF304F">
      <w:pPr>
        <w:spacing w:before="0" w:beforeAutospacing="0" w:after="120" w:afterAutospacing="0"/>
        <w:jc w:val="center"/>
        <w:rPr>
          <w:b/>
        </w:rPr>
      </w:pPr>
      <w:r w:rsidRPr="00DF304F">
        <w:rPr>
          <w:b/>
        </w:rPr>
        <w:t>OGLAS MOŽETE PRONAĆI NA INTERNET STRANICAMA CENTRA ZA RESTRUKTURIRANJE I PRODAJU: http://www.cerp.hr</w:t>
      </w:r>
    </w:p>
    <w:sectPr w:rsidR="00DF304F" w:rsidRPr="00DF304F" w:rsidSect="00DF304F">
      <w:pgSz w:w="16838" w:h="11906" w:orient="landscape"/>
      <w:pgMar w:top="1134" w:right="567" w:bottom="113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5649"/>
    <w:rsid w:val="00240657"/>
    <w:rsid w:val="002E5649"/>
    <w:rsid w:val="00B17510"/>
    <w:rsid w:val="00DF304F"/>
    <w:rsid w:val="00E53D8D"/>
    <w:rsid w:val="00FD43C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22"/>
        <w:lang w:val="hr-HR"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hr-HR"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445875">
      <w:bodyDiv w:val="1"/>
      <w:marLeft w:val="0"/>
      <w:marRight w:val="0"/>
      <w:marTop w:val="0"/>
      <w:marBottom w:val="0"/>
      <w:divBdr>
        <w:top w:val="none" w:sz="0" w:space="0" w:color="auto"/>
        <w:left w:val="none" w:sz="0" w:space="0" w:color="auto"/>
        <w:bottom w:val="none" w:sz="0" w:space="0" w:color="auto"/>
        <w:right w:val="none" w:sz="0" w:space="0" w:color="auto"/>
      </w:divBdr>
    </w:div>
    <w:div w:id="2090076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640</Words>
  <Characters>3654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AUDIO</Company>
  <LinksUpToDate>false</LinksUpToDate>
  <CharactersWithSpaces>4286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 Koričić</dc:creator>
  <cp:lastModifiedBy>Manuela Ljubunčić</cp:lastModifiedBy>
  <cp:revision>2</cp:revision>
  <cp:lastPrinted>2016-05-17T13:18:00Z</cp:lastPrinted>
  <dcterms:created xsi:type="dcterms:W3CDTF">2016-05-17T13:33:00Z</dcterms:created>
  <dcterms:modified xsi:type="dcterms:W3CDTF">2016-05-17T13:33:00Z</dcterms:modified>
</cp:coreProperties>
</file>